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D2" w:rsidRDefault="00C773D2"/>
    <w:p w:rsidR="00C773D2" w:rsidRDefault="00C773D2" w:rsidP="00C773D2">
      <w:pPr>
        <w:tabs>
          <w:tab w:val="left" w:pos="565"/>
        </w:tabs>
        <w:suppressAutoHyphens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Порядок использования открытого </w:t>
      </w:r>
      <w:proofErr w:type="gramStart"/>
      <w:r>
        <w:rPr>
          <w:b/>
          <w:bCs/>
          <w:color w:val="000000"/>
          <w:sz w:val="28"/>
          <w:szCs w:val="28"/>
        </w:rPr>
        <w:t>огня  и</w:t>
      </w:r>
      <w:proofErr w:type="gramEnd"/>
      <w:r>
        <w:rPr>
          <w:b/>
          <w:bCs/>
          <w:color w:val="000000"/>
          <w:sz w:val="28"/>
          <w:szCs w:val="28"/>
        </w:rPr>
        <w:t xml:space="preserve"> разведение костров на землях сельскохозяйственного назначения, землях запаса и землях населенных пунктов: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center"/>
        <w:rPr>
          <w:rFonts w:ascii="Arial" w:hAnsi="Arial" w:cs="Arial"/>
          <w:color w:val="000000"/>
          <w:sz w:val="23"/>
          <w:szCs w:val="28"/>
        </w:rPr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b/>
          <w:bCs/>
          <w:color w:val="000000"/>
          <w:sz w:val="28"/>
          <w:szCs w:val="28"/>
        </w:rPr>
        <w:t> 2</w:t>
      </w:r>
      <w:bookmarkStart w:id="0" w:name="_GoBack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Использование открытого огня должно осуществляться в </w:t>
      </w:r>
      <w:r>
        <w:rPr>
          <w:b/>
          <w:bCs/>
          <w:color w:val="000000"/>
          <w:sz w:val="28"/>
          <w:szCs w:val="28"/>
        </w:rPr>
        <w:t xml:space="preserve">специально оборудованных местах </w:t>
      </w:r>
      <w:bookmarkEnd w:id="0"/>
      <w:r>
        <w:rPr>
          <w:color w:val="000000"/>
          <w:sz w:val="28"/>
          <w:szCs w:val="28"/>
        </w:rPr>
        <w:t>при выполнении следующих требований: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а) место использования открытого огня должно быть выполнено в виде </w:t>
      </w:r>
      <w:r>
        <w:rPr>
          <w:b/>
          <w:bCs/>
          <w:color w:val="000000"/>
          <w:sz w:val="28"/>
          <w:szCs w:val="28"/>
        </w:rPr>
        <w:t>котлована (ямы, рва) не менее чем 0,3 метра глубиной и не более 1 метра</w:t>
      </w:r>
      <w:r>
        <w:rPr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диаметре </w:t>
      </w:r>
      <w:r>
        <w:rPr>
          <w:color w:val="000000"/>
          <w:sz w:val="28"/>
          <w:szCs w:val="28"/>
        </w:rPr>
        <w:t xml:space="preserve">или площадки с прочно установленной на ней металлической </w:t>
      </w:r>
      <w:r>
        <w:rPr>
          <w:b/>
          <w:bCs/>
          <w:color w:val="000000"/>
          <w:sz w:val="28"/>
          <w:szCs w:val="28"/>
        </w:rPr>
        <w:t>емкостью (например, бочка, бак, мангал)</w:t>
      </w:r>
      <w:r>
        <w:rPr>
          <w:color w:val="000000"/>
          <w:sz w:val="28"/>
          <w:szCs w:val="28"/>
        </w:rPr>
        <w:t xml:space="preserve">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место использования открытого огня должно располагаться на расстоянии</w:t>
      </w:r>
      <w:r>
        <w:rPr>
          <w:b/>
          <w:bCs/>
          <w:color w:val="000000"/>
          <w:sz w:val="28"/>
          <w:szCs w:val="28"/>
        </w:rPr>
        <w:t xml:space="preserve"> не менее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15</w:t>
      </w:r>
      <w:r>
        <w:rPr>
          <w:b/>
          <w:bCs/>
          <w:color w:val="000000"/>
          <w:sz w:val="28"/>
          <w:szCs w:val="28"/>
        </w:rPr>
        <w:t xml:space="preserve"> метров от ближайшего объекта </w:t>
      </w:r>
      <w:r>
        <w:rPr>
          <w:color w:val="000000"/>
          <w:sz w:val="28"/>
          <w:szCs w:val="28"/>
        </w:rPr>
        <w:t>(здания, сооружения, постройки, открытого склада, скирды),</w:t>
      </w:r>
      <w:r>
        <w:rPr>
          <w:b/>
          <w:bCs/>
          <w:color w:val="000000"/>
          <w:sz w:val="28"/>
          <w:szCs w:val="28"/>
        </w:rPr>
        <w:t xml:space="preserve">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в) территория вокруг места использования открытого огня должна быть </w:t>
      </w:r>
      <w:r>
        <w:rPr>
          <w:b/>
          <w:bCs/>
          <w:color w:val="000000"/>
          <w:sz w:val="28"/>
          <w:szCs w:val="28"/>
        </w:rPr>
        <w:t>очищена в радиусе 10 метров от сухостойных деревьев, сухой травы,</w:t>
      </w:r>
      <w:r>
        <w:rPr>
          <w:color w:val="000000"/>
          <w:sz w:val="28"/>
          <w:szCs w:val="28"/>
        </w:rPr>
        <w:t xml:space="preserve">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г) лицо, использующее открытый огонь, должно быть о</w:t>
      </w:r>
      <w:r>
        <w:rPr>
          <w:b/>
          <w:bCs/>
          <w:color w:val="000000"/>
          <w:sz w:val="28"/>
          <w:szCs w:val="28"/>
        </w:rPr>
        <w:t>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6" w:history="1">
        <w:r>
          <w:rPr>
            <w:rStyle w:val="a4"/>
            <w:color w:val="3C5F87"/>
            <w:sz w:val="28"/>
            <w:szCs w:val="28"/>
            <w:highlight w:val="white"/>
          </w:rPr>
          <w:t>подпунктами "б"</w:t>
        </w:r>
      </w:hyperlink>
      <w:r>
        <w:rPr>
          <w:color w:val="000000"/>
          <w:sz w:val="28"/>
          <w:szCs w:val="28"/>
        </w:rPr>
        <w:t> и </w:t>
      </w:r>
      <w:hyperlink r:id="rId7" w:history="1">
        <w:r>
          <w:rPr>
            <w:rStyle w:val="a4"/>
            <w:color w:val="3C5F87"/>
            <w:sz w:val="28"/>
            <w:szCs w:val="28"/>
            <w:highlight w:val="white"/>
          </w:rPr>
          <w:t>"в" пункта 2</w:t>
        </w:r>
      </w:hyperlink>
      <w:r>
        <w:rPr>
          <w:color w:val="000000"/>
          <w:sz w:val="28"/>
          <w:szCs w:val="28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>
        <w:rPr>
          <w:b/>
          <w:bCs/>
          <w:color w:val="000000"/>
          <w:sz w:val="28"/>
          <w:szCs w:val="28"/>
        </w:rPr>
        <w:t>металлическим листом, размер которого должен позволять полностью закрыть указанную емкость сверху.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</w:t>
      </w:r>
      <w:r>
        <w:rPr>
          <w:b/>
          <w:bCs/>
          <w:color w:val="000000"/>
          <w:sz w:val="28"/>
          <w:szCs w:val="28"/>
        </w:rPr>
        <w:t>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7. При увеличении диаметра зоны очага горения должны быть выполнены требования </w:t>
      </w:r>
      <w:hyperlink r:id="rId8" w:history="1">
        <w:r>
          <w:rPr>
            <w:rStyle w:val="a4"/>
            <w:color w:val="3C5F87"/>
            <w:sz w:val="28"/>
            <w:szCs w:val="28"/>
            <w:highlight w:val="white"/>
          </w:rPr>
          <w:t>пункта 2</w:t>
        </w:r>
      </w:hyperlink>
      <w:r>
        <w:rPr>
          <w:color w:val="000000"/>
          <w:sz w:val="28"/>
          <w:szCs w:val="28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8. </w:t>
      </w:r>
      <w:r>
        <w:rPr>
          <w:b/>
          <w:bCs/>
          <w:color w:val="000000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9. Использование открытого огня </w:t>
      </w:r>
      <w:r>
        <w:rPr>
          <w:b/>
          <w:bCs/>
          <w:color w:val="000000"/>
          <w:sz w:val="28"/>
          <w:szCs w:val="28"/>
        </w:rPr>
        <w:t>запрещается</w:t>
      </w:r>
      <w:r>
        <w:rPr>
          <w:color w:val="000000"/>
          <w:sz w:val="28"/>
          <w:szCs w:val="28"/>
        </w:rPr>
        <w:t>: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- на торфяных почвах;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-при установлении на соответствующей территории особого противопожарного режима;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-при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-под кронами деревьев хвойных пород;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-в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-при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при скорости ветра, превышающей значение 10 метров в секунду.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10. В процессе использования открытого огня </w:t>
      </w:r>
      <w:r>
        <w:rPr>
          <w:b/>
          <w:bCs/>
          <w:color w:val="000000"/>
          <w:sz w:val="28"/>
          <w:szCs w:val="28"/>
        </w:rPr>
        <w:t>запрещается</w:t>
      </w:r>
      <w:r>
        <w:rPr>
          <w:color w:val="000000"/>
          <w:sz w:val="28"/>
          <w:szCs w:val="28"/>
        </w:rPr>
        <w:t>: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Статья 20.4. </w:t>
      </w:r>
      <w:r>
        <w:rPr>
          <w:b/>
          <w:color w:val="000000"/>
          <w:sz w:val="28"/>
          <w:szCs w:val="28"/>
        </w:rPr>
        <w:t>Нарушение требований пожарной безопасности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1. Нарушение </w:t>
      </w:r>
      <w:hyperlink r:id="rId9" w:history="1">
        <w:r>
          <w:rPr>
            <w:rStyle w:val="a4"/>
            <w:color w:val="000000"/>
            <w:sz w:val="28"/>
            <w:szCs w:val="28"/>
            <w:highlight w:val="white"/>
          </w:rPr>
          <w:t>требований</w:t>
        </w:r>
      </w:hyperlink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пожарной безопасности, за исключением случаев, предусмотренных </w:t>
      </w:r>
      <w:hyperlink r:id="rId10" w:anchor="block_832" w:history="1">
        <w:r>
          <w:rPr>
            <w:rStyle w:val="a4"/>
            <w:color w:val="000000"/>
            <w:sz w:val="28"/>
            <w:szCs w:val="28"/>
            <w:highlight w:val="white"/>
          </w:rPr>
          <w:t>статьями 8.32</w:t>
        </w:r>
      </w:hyperlink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 </w:t>
      </w:r>
      <w:hyperlink r:id="rId11" w:anchor="block_1116" w:history="1">
        <w:r>
          <w:rPr>
            <w:rStyle w:val="a4"/>
            <w:color w:val="000000"/>
            <w:sz w:val="28"/>
            <w:szCs w:val="28"/>
            <w:highlight w:val="white"/>
          </w:rPr>
          <w:t>11.16</w:t>
        </w:r>
      </w:hyperlink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Кодекса и </w:t>
      </w:r>
      <w:hyperlink r:id="rId12" w:anchor="block_20406" w:history="1">
        <w:r>
          <w:rPr>
            <w:rStyle w:val="a4"/>
            <w:color w:val="000000"/>
            <w:sz w:val="28"/>
            <w:szCs w:val="28"/>
            <w:highlight w:val="white"/>
          </w:rPr>
          <w:t>частями 6</w:t>
        </w:r>
      </w:hyperlink>
      <w:r>
        <w:rPr>
          <w:color w:val="000000"/>
          <w:sz w:val="28"/>
          <w:szCs w:val="28"/>
        </w:rPr>
        <w:t>, </w:t>
      </w:r>
      <w:hyperlink r:id="rId13" w:anchor="block_204061" w:history="1">
        <w:r>
          <w:rPr>
            <w:rStyle w:val="a4"/>
            <w:color w:val="000000"/>
            <w:sz w:val="28"/>
            <w:szCs w:val="28"/>
            <w:highlight w:val="white"/>
          </w:rPr>
          <w:t>6.1</w:t>
        </w:r>
      </w:hyperlink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 </w:t>
      </w:r>
      <w:hyperlink r:id="rId14" w:anchor="block_20407" w:history="1">
        <w:r>
          <w:rPr>
            <w:rStyle w:val="a4"/>
            <w:color w:val="000000"/>
            <w:sz w:val="28"/>
            <w:szCs w:val="28"/>
            <w:highlight w:val="white"/>
          </w:rPr>
          <w:t>7</w:t>
        </w:r>
      </w:hyperlink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настоящей статьи, -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  <w:rPr>
          <w:b/>
        </w:rPr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b/>
          <w:bCs/>
          <w:color w:val="000000"/>
          <w:sz w:val="28"/>
          <w:szCs w:val="28"/>
        </w:rPr>
        <w:t xml:space="preserve">на граждан в размере от 5 </w:t>
      </w:r>
      <w:proofErr w:type="gramStart"/>
      <w:r>
        <w:rPr>
          <w:b/>
          <w:bCs/>
          <w:color w:val="000000"/>
          <w:sz w:val="28"/>
          <w:szCs w:val="28"/>
        </w:rPr>
        <w:t>000  до</w:t>
      </w:r>
      <w:proofErr w:type="gramEnd"/>
      <w:r>
        <w:rPr>
          <w:b/>
          <w:bCs/>
          <w:color w:val="000000"/>
          <w:sz w:val="28"/>
          <w:szCs w:val="28"/>
        </w:rPr>
        <w:t xml:space="preserve"> 15 000 рублей</w:t>
      </w:r>
      <w:r>
        <w:rPr>
          <w:color w:val="000000"/>
          <w:sz w:val="28"/>
          <w:szCs w:val="28"/>
        </w:rPr>
        <w:t xml:space="preserve">; на должностных лиц - от </w:t>
      </w:r>
      <w:r>
        <w:rPr>
          <w:b/>
          <w:bCs/>
          <w:color w:val="000000"/>
          <w:sz w:val="28"/>
          <w:szCs w:val="28"/>
        </w:rPr>
        <w:t>20 000</w:t>
      </w:r>
      <w:r>
        <w:rPr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 xml:space="preserve">30 000 </w:t>
      </w:r>
      <w:r>
        <w:rPr>
          <w:color w:val="000000"/>
          <w:sz w:val="28"/>
          <w:szCs w:val="28"/>
        </w:rPr>
        <w:t xml:space="preserve">рублей; на лиц, осуществляющих предпринимательскую деятельность без образования юридического лица, - от </w:t>
      </w:r>
      <w:r>
        <w:rPr>
          <w:b/>
          <w:bCs/>
          <w:color w:val="000000"/>
          <w:sz w:val="28"/>
          <w:szCs w:val="28"/>
        </w:rPr>
        <w:t>40 000 до 60 000</w:t>
      </w:r>
      <w:r>
        <w:rPr>
          <w:color w:val="000000"/>
          <w:sz w:val="28"/>
          <w:szCs w:val="28"/>
        </w:rPr>
        <w:t xml:space="preserve"> рублей; на юридических лиц - от </w:t>
      </w:r>
      <w:r>
        <w:rPr>
          <w:b/>
          <w:bCs/>
          <w:color w:val="000000"/>
          <w:sz w:val="28"/>
          <w:szCs w:val="28"/>
        </w:rPr>
        <w:t>300 000 до 400 000</w:t>
      </w:r>
      <w:r>
        <w:rPr>
          <w:color w:val="000000"/>
          <w:sz w:val="28"/>
          <w:szCs w:val="28"/>
        </w:rPr>
        <w:t xml:space="preserve"> рублей.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color w:val="000000"/>
          <w:sz w:val="28"/>
          <w:szCs w:val="28"/>
        </w:rPr>
        <w:t>2. Те же действия, совершенные в условиях </w:t>
      </w:r>
      <w:hyperlink r:id="rId15" w:anchor="block_30" w:history="1">
        <w:r>
          <w:rPr>
            <w:rStyle w:val="a4"/>
            <w:color w:val="000000"/>
            <w:sz w:val="28"/>
            <w:szCs w:val="28"/>
            <w:highlight w:val="white"/>
          </w:rPr>
          <w:t>особого противопожарного режима</w:t>
        </w:r>
      </w:hyperlink>
      <w:r>
        <w:rPr>
          <w:color w:val="000000"/>
          <w:sz w:val="28"/>
          <w:szCs w:val="28"/>
        </w:rPr>
        <w:t>, -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  <w:r>
        <w:rPr>
          <w:rFonts w:eastAsia="Times New Roman"/>
          <w:color w:val="000000"/>
          <w:w w:val="95"/>
          <w:sz w:val="28"/>
          <w:szCs w:val="28"/>
        </w:rPr>
        <w:t xml:space="preserve">влекут наложение административного штрафа на граждан в размере </w:t>
      </w:r>
      <w:r>
        <w:rPr>
          <w:rFonts w:eastAsia="Times New Roman"/>
          <w:b/>
          <w:bCs/>
          <w:color w:val="000000"/>
          <w:w w:val="95"/>
          <w:sz w:val="28"/>
          <w:szCs w:val="28"/>
        </w:rPr>
        <w:t>от 10 000 до 20 000 рублей</w:t>
      </w:r>
      <w:r>
        <w:rPr>
          <w:rFonts w:eastAsia="Times New Roman"/>
          <w:color w:val="000000"/>
          <w:w w:val="95"/>
          <w:sz w:val="28"/>
          <w:szCs w:val="28"/>
        </w:rPr>
        <w:t xml:space="preserve">; на должностных лиц - от </w:t>
      </w:r>
      <w:r>
        <w:rPr>
          <w:rFonts w:eastAsia="Times New Roman"/>
          <w:b/>
          <w:bCs/>
          <w:color w:val="000000"/>
          <w:w w:val="95"/>
          <w:sz w:val="28"/>
          <w:szCs w:val="28"/>
        </w:rPr>
        <w:t xml:space="preserve">30 000 до 60 000 </w:t>
      </w:r>
      <w:r>
        <w:rPr>
          <w:rFonts w:eastAsia="Times New Roman"/>
          <w:color w:val="000000"/>
          <w:w w:val="95"/>
          <w:sz w:val="28"/>
          <w:szCs w:val="28"/>
        </w:rPr>
        <w:t xml:space="preserve">рублей; на лиц, осуществляющих предпринимательскую деятельность без образования юридического лица, - от </w:t>
      </w:r>
      <w:r>
        <w:rPr>
          <w:rFonts w:eastAsia="Times New Roman"/>
          <w:b/>
          <w:bCs/>
          <w:color w:val="000000"/>
          <w:w w:val="95"/>
          <w:sz w:val="28"/>
          <w:szCs w:val="28"/>
        </w:rPr>
        <w:t>60 000 до 80 000</w:t>
      </w:r>
      <w:r>
        <w:rPr>
          <w:rFonts w:eastAsia="Times New Roman"/>
          <w:color w:val="000000"/>
          <w:w w:val="95"/>
          <w:sz w:val="28"/>
          <w:szCs w:val="28"/>
        </w:rPr>
        <w:t xml:space="preserve"> рублей; на юридических лиц - от </w:t>
      </w:r>
      <w:r>
        <w:rPr>
          <w:rFonts w:eastAsia="Times New Roman"/>
          <w:b/>
          <w:bCs/>
          <w:color w:val="000000"/>
          <w:w w:val="95"/>
          <w:sz w:val="28"/>
          <w:szCs w:val="28"/>
        </w:rPr>
        <w:t>400 000 до 800 000</w:t>
      </w:r>
      <w:r>
        <w:rPr>
          <w:rFonts w:eastAsia="Times New Roman"/>
          <w:color w:val="000000"/>
          <w:w w:val="95"/>
          <w:sz w:val="28"/>
          <w:szCs w:val="28"/>
        </w:rPr>
        <w:t xml:space="preserve"> рублей.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ind w:left="720"/>
        <w:jc w:val="both"/>
      </w:pPr>
    </w:p>
    <w:p w:rsidR="00C773D2" w:rsidRDefault="00C773D2" w:rsidP="00C773D2">
      <w:pPr>
        <w:jc w:val="right"/>
      </w:pPr>
      <w:r>
        <w:rPr>
          <w:rFonts w:eastAsia="Times New Roman"/>
          <w:color w:val="000000"/>
          <w:sz w:val="27"/>
          <w:szCs w:val="27"/>
          <w:lang w:eastAsia="zh-CN"/>
        </w:rPr>
        <w:t xml:space="preserve">Старший инспектор </w:t>
      </w:r>
      <w:proofErr w:type="spellStart"/>
      <w:r>
        <w:rPr>
          <w:sz w:val="27"/>
          <w:szCs w:val="27"/>
        </w:rPr>
        <w:t>ОНДиПР</w:t>
      </w:r>
      <w:proofErr w:type="spellEnd"/>
      <w:r>
        <w:rPr>
          <w:sz w:val="27"/>
          <w:szCs w:val="27"/>
        </w:rPr>
        <w:t xml:space="preserve"> по Каслинскому и</w:t>
      </w:r>
    </w:p>
    <w:p w:rsidR="00C773D2" w:rsidRDefault="00C773D2" w:rsidP="00C773D2">
      <w:pPr>
        <w:jc w:val="right"/>
      </w:pPr>
      <w:r>
        <w:rPr>
          <w:sz w:val="27"/>
          <w:szCs w:val="27"/>
        </w:rPr>
        <w:t xml:space="preserve">Кунашакскому районам </w:t>
      </w:r>
      <w:proofErr w:type="spellStart"/>
      <w:r>
        <w:rPr>
          <w:sz w:val="27"/>
          <w:szCs w:val="27"/>
        </w:rPr>
        <w:t>УНДиПР</w:t>
      </w:r>
      <w:proofErr w:type="spellEnd"/>
    </w:p>
    <w:p w:rsidR="00C773D2" w:rsidRDefault="00C773D2" w:rsidP="00C773D2">
      <w:pPr>
        <w:jc w:val="right"/>
      </w:pPr>
      <w:r>
        <w:rPr>
          <w:sz w:val="27"/>
          <w:szCs w:val="27"/>
        </w:rPr>
        <w:t>Главного управления МЧС России</w:t>
      </w:r>
    </w:p>
    <w:p w:rsidR="00C773D2" w:rsidRDefault="00C773D2" w:rsidP="00C773D2">
      <w:pPr>
        <w:jc w:val="right"/>
      </w:pPr>
      <w:r>
        <w:rPr>
          <w:sz w:val="27"/>
          <w:szCs w:val="27"/>
        </w:rPr>
        <w:t>по Челябинской области</w:t>
      </w:r>
    </w:p>
    <w:p w:rsidR="00C773D2" w:rsidRDefault="002A428F" w:rsidP="00C773D2">
      <w:pPr>
        <w:tabs>
          <w:tab w:val="left" w:pos="1285"/>
        </w:tabs>
        <w:suppressAutoHyphens/>
        <w:spacing w:after="0" w:line="240" w:lineRule="auto"/>
        <w:jc w:val="right"/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395AAE1" wp14:editId="4FC9791E">
            <wp:simplePos x="0" y="0"/>
            <wp:positionH relativeFrom="column">
              <wp:posOffset>236855</wp:posOffset>
            </wp:positionH>
            <wp:positionV relativeFrom="paragraph">
              <wp:posOffset>184785</wp:posOffset>
            </wp:positionV>
            <wp:extent cx="3696335" cy="246380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4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3D2">
        <w:rPr>
          <w:rFonts w:eastAsia="Times New Roman"/>
          <w:color w:val="000000"/>
          <w:sz w:val="27"/>
          <w:szCs w:val="27"/>
          <w:lang w:eastAsia="zh-CN"/>
        </w:rPr>
        <w:t xml:space="preserve">майор </w:t>
      </w:r>
      <w:r w:rsidR="00C773D2">
        <w:rPr>
          <w:sz w:val="27"/>
          <w:szCs w:val="27"/>
        </w:rPr>
        <w:t xml:space="preserve">внутренней службы   </w:t>
      </w:r>
    </w:p>
    <w:p w:rsidR="00C773D2" w:rsidRDefault="00C773D2" w:rsidP="00C773D2">
      <w:pPr>
        <w:tabs>
          <w:tab w:val="left" w:pos="1285"/>
        </w:tabs>
        <w:suppressAutoHyphens/>
        <w:spacing w:after="0" w:line="240" w:lineRule="auto"/>
        <w:jc w:val="right"/>
      </w:pPr>
      <w:r>
        <w:rPr>
          <w:sz w:val="27"/>
          <w:szCs w:val="27"/>
        </w:rPr>
        <w:t xml:space="preserve">                       </w:t>
      </w:r>
      <w:proofErr w:type="spellStart"/>
      <w:r>
        <w:rPr>
          <w:rFonts w:eastAsia="Times New Roman"/>
          <w:color w:val="000000"/>
          <w:sz w:val="27"/>
          <w:szCs w:val="27"/>
          <w:lang w:eastAsia="zh-CN"/>
        </w:rPr>
        <w:t>Ю.В.Коберт</w:t>
      </w:r>
      <w:proofErr w:type="spellEnd"/>
    </w:p>
    <w:p w:rsidR="00C773D2" w:rsidRDefault="00C773D2"/>
    <w:p w:rsidR="00E84F4E" w:rsidRDefault="00E84F4E"/>
    <w:p w:rsidR="00E84F4E" w:rsidRDefault="00E84F4E"/>
    <w:p w:rsidR="00E84F4E" w:rsidRDefault="00E84F4E"/>
    <w:p w:rsidR="00E84F4E" w:rsidRDefault="00E84F4E"/>
    <w:p w:rsidR="00E84F4E" w:rsidRDefault="00E84F4E"/>
    <w:p w:rsidR="00E84F4E" w:rsidRDefault="00E84F4E"/>
    <w:p w:rsidR="00E84F4E" w:rsidRDefault="00E84F4E"/>
    <w:p w:rsidR="00C773D2" w:rsidRDefault="00C773D2"/>
    <w:sectPr w:rsidR="00C773D2" w:rsidSect="009B541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D3" w:rsidRDefault="00B939D3" w:rsidP="00E84F4E">
      <w:pPr>
        <w:spacing w:after="0" w:line="240" w:lineRule="auto"/>
      </w:pPr>
      <w:r>
        <w:separator/>
      </w:r>
    </w:p>
  </w:endnote>
  <w:endnote w:type="continuationSeparator" w:id="0">
    <w:p w:rsidR="00B939D3" w:rsidRDefault="00B939D3" w:rsidP="00E8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4E" w:rsidRDefault="00E84F4E">
    <w:pPr>
      <w:pStyle w:val="a7"/>
    </w:pPr>
  </w:p>
  <w:p w:rsidR="00E84F4E" w:rsidRDefault="00E84F4E">
    <w:pPr>
      <w:pStyle w:val="a7"/>
    </w:pPr>
  </w:p>
  <w:p w:rsidR="00E84F4E" w:rsidRDefault="00E84F4E">
    <w:pPr>
      <w:pStyle w:val="a7"/>
    </w:pPr>
  </w:p>
  <w:p w:rsidR="00E84F4E" w:rsidRDefault="00E84F4E">
    <w:pPr>
      <w:pStyle w:val="a7"/>
    </w:pPr>
  </w:p>
  <w:p w:rsidR="00E84F4E" w:rsidRDefault="00E84F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D3" w:rsidRDefault="00B939D3" w:rsidP="00E84F4E">
      <w:pPr>
        <w:spacing w:after="0" w:line="240" w:lineRule="auto"/>
      </w:pPr>
      <w:r>
        <w:separator/>
      </w:r>
    </w:p>
  </w:footnote>
  <w:footnote w:type="continuationSeparator" w:id="0">
    <w:p w:rsidR="00B939D3" w:rsidRDefault="00B939D3" w:rsidP="00E84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2E"/>
    <w:rsid w:val="00205DA5"/>
    <w:rsid w:val="002604FC"/>
    <w:rsid w:val="002A428F"/>
    <w:rsid w:val="00574697"/>
    <w:rsid w:val="009B5418"/>
    <w:rsid w:val="00A71F12"/>
    <w:rsid w:val="00B939D3"/>
    <w:rsid w:val="00C773D2"/>
    <w:rsid w:val="00E84F4E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E35"/>
  <w15:chartTrackingRefBased/>
  <w15:docId w15:val="{AD27F4AC-C847-4413-B487-C4C07F4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C773D2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E8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F4E"/>
  </w:style>
  <w:style w:type="paragraph" w:styleId="a7">
    <w:name w:val="footer"/>
    <w:basedOn w:val="a"/>
    <w:link w:val="a8"/>
    <w:uiPriority w:val="99"/>
    <w:unhideWhenUsed/>
    <w:rsid w:val="00E8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pravitelstva-rf-ot-16092020-n-1479/pravila-protivopozharnogo-rezhima-v-rossiiskoi/prilozhenie-n-4/" TargetMode="External"/><Relationship Id="rId13" Type="http://schemas.openxmlformats.org/officeDocument/2006/relationships/hyperlink" Target="https://base.garant.ru/12125267/3ddec0358899d3ea2b04c72578ab41e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ostanovlenie-pravitelstva-rf-ot-16092020-n-1479/pravila-protivopozharnogo-rezhima-v-rossiiskoi/prilozhenie-n-4/" TargetMode="External"/><Relationship Id="rId12" Type="http://schemas.openxmlformats.org/officeDocument/2006/relationships/hyperlink" Target="https://base.garant.ru/12125267/3ddec0358899d3ea2b04c72578ab41e7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sudact.ru/law/postanovlenie-pravitelstva-rf-ot-16092020-n-1479/pravila-protivopozharnogo-rezhima-v-rossiiskoi/prilozhenie-n-4/" TargetMode="External"/><Relationship Id="rId11" Type="http://schemas.openxmlformats.org/officeDocument/2006/relationships/hyperlink" Target="https://base.garant.ru/12125267/5459add7da156134384304d334433a8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10103955/7d6bbe1829627ce93319dc72963759a2/" TargetMode="External"/><Relationship Id="rId10" Type="http://schemas.openxmlformats.org/officeDocument/2006/relationships/hyperlink" Target="https://base.garant.ru/12125267/73ef8120ebae5e4a93b9bd7523b5c87f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61584/" TargetMode="External"/><Relationship Id="rId14" Type="http://schemas.openxmlformats.org/officeDocument/2006/relationships/hyperlink" Target="https://base.garant.ru/12125267/3ddec0358899d3ea2b04c72578ab41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2024-04-01T07:03:00Z</dcterms:created>
  <dcterms:modified xsi:type="dcterms:W3CDTF">2024-04-04T07:02:00Z</dcterms:modified>
</cp:coreProperties>
</file>